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种设备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专职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安全管理人员，保证安全生产有投入，切实做好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</w:t>
      </w:r>
      <w:bookmarkStart w:id="2" w:name="_GoBack"/>
      <w:bookmarkEnd w:id="2"/>
      <w:r>
        <w:rPr>
          <w:rFonts w:hint="eastAsia" w:ascii="仿宋" w:hAnsi="仿宋" w:eastAsia="仿宋" w:cs="仿宋"/>
          <w:b/>
          <w:color w:val="000000"/>
        </w:rPr>
        <w:t>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ZWQ4MTg2MzZjYzBmNGY4MDgwOTg5MzkzZjExYzM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AC51722"/>
    <w:rsid w:val="0CE8524E"/>
    <w:rsid w:val="0D715547"/>
    <w:rsid w:val="182F405C"/>
    <w:rsid w:val="19766A09"/>
    <w:rsid w:val="1C2C33AF"/>
    <w:rsid w:val="1EBF1433"/>
    <w:rsid w:val="1FAF50EC"/>
    <w:rsid w:val="336D48BC"/>
    <w:rsid w:val="3734ACE5"/>
    <w:rsid w:val="38AE3672"/>
    <w:rsid w:val="3C6D127B"/>
    <w:rsid w:val="4574264D"/>
    <w:rsid w:val="46D76792"/>
    <w:rsid w:val="4DA246F2"/>
    <w:rsid w:val="4F053468"/>
    <w:rsid w:val="50081462"/>
    <w:rsid w:val="505A127C"/>
    <w:rsid w:val="54695C77"/>
    <w:rsid w:val="5D08612D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autoRedefine/>
    <w:qFormat/>
    <w:uiPriority w:val="0"/>
  </w:style>
  <w:style w:type="character" w:customStyle="1" w:styleId="16">
    <w:name w:val="media_tool_meta"/>
    <w:basedOn w:val="8"/>
    <w:autoRedefine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autoRedefine/>
    <w:qFormat/>
    <w:uiPriority w:val="0"/>
  </w:style>
  <w:style w:type="character" w:customStyle="1" w:styleId="19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2712</Characters>
  <Lines>22</Lines>
  <Paragraphs>6</Paragraphs>
  <TotalTime>113</TotalTime>
  <ScaleCrop>false</ScaleCrop>
  <LinksUpToDate>false</LinksUpToDate>
  <CharactersWithSpaces>3181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2023-06-21T04:46:00Z</dcterms:created>
  <dc:creator>Administrator</dc:creator>
  <cp:lastModifiedBy>小燕子</cp:lastModifiedBy>
  <cp:lastPrinted>2023-08-25T07:39:00Z</cp:lastPrinted>
  <dcterms:modified xsi:type="dcterms:W3CDTF">2024-03-01T07:50:57Z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C6F0D83E7601459DBAA9E6D3AE7E2EDD_13</vt:lpwstr>
  </property>
</Properties>
</file>